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61894" w14:textId="77777777" w:rsidR="00D91727" w:rsidRPr="006E2CA7" w:rsidRDefault="00F97D0D" w:rsidP="00840831">
      <w:pPr>
        <w:jc w:val="center"/>
        <w:rPr>
          <w:b/>
          <w:sz w:val="24"/>
          <w:szCs w:val="24"/>
        </w:rPr>
      </w:pPr>
      <w:r w:rsidRPr="0015351F">
        <w:rPr>
          <w:b/>
          <w:sz w:val="24"/>
          <w:szCs w:val="24"/>
          <w:highlight w:val="lightGray"/>
        </w:rPr>
        <w:t>BUDGET QUICK FACTS (Adapted for the Newark Campus)</w:t>
      </w:r>
      <w:r w:rsidRPr="006E2CA7">
        <w:rPr>
          <w:sz w:val="24"/>
          <w:szCs w:val="24"/>
          <w:highlight w:val="lightGray"/>
        </w:rPr>
        <w:t xml:space="preserve"> </w:t>
      </w:r>
      <w:r w:rsidRPr="006E2CA7">
        <w:rPr>
          <w:b/>
          <w:sz w:val="24"/>
          <w:szCs w:val="24"/>
          <w:highlight w:val="lightGray"/>
        </w:rPr>
        <w:t>updated August 2014</w:t>
      </w:r>
    </w:p>
    <w:p w14:paraId="0279E406" w14:textId="4F8B1480" w:rsidR="00F97D0D" w:rsidRPr="008F4599" w:rsidRDefault="00F97D0D" w:rsidP="001E2876">
      <w:pPr>
        <w:ind w:left="720"/>
        <w:rPr>
          <w:b/>
          <w:sz w:val="20"/>
          <w:szCs w:val="20"/>
        </w:rPr>
      </w:pPr>
      <w:r w:rsidRPr="008F4599">
        <w:rPr>
          <w:b/>
          <w:sz w:val="20"/>
          <w:szCs w:val="20"/>
        </w:rPr>
        <w:t>Please construct your budget using the Fiscal Year (FY)</w:t>
      </w:r>
      <w:r w:rsidRPr="001E2876">
        <w:rPr>
          <w:sz w:val="20"/>
          <w:szCs w:val="20"/>
        </w:rPr>
        <w:t xml:space="preserve"> following </w:t>
      </w:r>
      <w:r w:rsidRPr="008F4599">
        <w:rPr>
          <w:b/>
          <w:sz w:val="20"/>
          <w:szCs w:val="20"/>
        </w:rPr>
        <w:t>the beginning of your project.</w:t>
      </w:r>
      <w:r w:rsidR="001E2876">
        <w:rPr>
          <w:sz w:val="20"/>
          <w:szCs w:val="20"/>
        </w:rPr>
        <w:br/>
      </w:r>
      <w:r w:rsidR="008F4599">
        <w:rPr>
          <w:b/>
          <w:sz w:val="20"/>
          <w:szCs w:val="20"/>
        </w:rPr>
        <w:t xml:space="preserve">e.g. </w:t>
      </w:r>
      <w:r w:rsidRPr="008F4599">
        <w:rPr>
          <w:b/>
          <w:sz w:val="20"/>
          <w:szCs w:val="20"/>
        </w:rPr>
        <w:t>Your project start date is 1/01/15.  July 1, 2015 begins FY16, so please use FY16 estimates.</w:t>
      </w:r>
    </w:p>
    <w:tbl>
      <w:tblPr>
        <w:tblStyle w:val="TableGrid"/>
        <w:tblW w:w="0" w:type="auto"/>
        <w:tblLayout w:type="fixed"/>
        <w:tblLook w:val="04A0" w:firstRow="1" w:lastRow="0" w:firstColumn="1" w:lastColumn="0" w:noHBand="0" w:noVBand="1"/>
      </w:tblPr>
      <w:tblGrid>
        <w:gridCol w:w="3685"/>
        <w:gridCol w:w="1170"/>
        <w:gridCol w:w="900"/>
        <w:gridCol w:w="900"/>
        <w:gridCol w:w="900"/>
        <w:gridCol w:w="900"/>
        <w:gridCol w:w="895"/>
      </w:tblGrid>
      <w:tr w:rsidR="000B7843" w14:paraId="7F36534E" w14:textId="77777777" w:rsidTr="000B7843">
        <w:tc>
          <w:tcPr>
            <w:tcW w:w="9350" w:type="dxa"/>
            <w:gridSpan w:val="7"/>
          </w:tcPr>
          <w:p w14:paraId="192D7035" w14:textId="641007F1" w:rsidR="000B7843" w:rsidRPr="00840831" w:rsidRDefault="006E2CA7">
            <w:pPr>
              <w:rPr>
                <w:b/>
                <w:sz w:val="20"/>
                <w:szCs w:val="20"/>
              </w:rPr>
            </w:pPr>
            <w:r>
              <w:rPr>
                <w:b/>
                <w:sz w:val="20"/>
                <w:szCs w:val="20"/>
              </w:rPr>
              <w:t xml:space="preserve">                                       </w:t>
            </w:r>
            <w:r w:rsidR="000B7843" w:rsidRPr="00840831">
              <w:rPr>
                <w:b/>
                <w:sz w:val="20"/>
                <w:szCs w:val="20"/>
              </w:rPr>
              <w:t>GRADUATE STUDENTS</w:t>
            </w:r>
          </w:p>
        </w:tc>
      </w:tr>
      <w:tr w:rsidR="000B7843" w14:paraId="05747CCF" w14:textId="77777777" w:rsidTr="00AB173F">
        <w:tc>
          <w:tcPr>
            <w:tcW w:w="3685" w:type="dxa"/>
            <w:vMerge w:val="restart"/>
          </w:tcPr>
          <w:p w14:paraId="6226D510" w14:textId="77777777" w:rsidR="000B7843" w:rsidRPr="00840831" w:rsidRDefault="000B7843" w:rsidP="000B7843">
            <w:pPr>
              <w:rPr>
                <w:b/>
                <w:sz w:val="20"/>
                <w:szCs w:val="20"/>
              </w:rPr>
            </w:pPr>
            <w:r w:rsidRPr="00840831">
              <w:rPr>
                <w:b/>
                <w:sz w:val="20"/>
                <w:szCs w:val="20"/>
              </w:rPr>
              <w:t>GA/TA SALARIES</w:t>
            </w:r>
          </w:p>
          <w:p w14:paraId="06C8BF3A" w14:textId="77777777" w:rsidR="000B7843" w:rsidRPr="00840831" w:rsidRDefault="000B7843" w:rsidP="000B7843">
            <w:pPr>
              <w:rPr>
                <w:sz w:val="18"/>
                <w:szCs w:val="18"/>
              </w:rPr>
            </w:pPr>
            <w:r w:rsidRPr="00840831">
              <w:rPr>
                <w:sz w:val="18"/>
                <w:szCs w:val="18"/>
              </w:rPr>
              <w:t>2% increase in FY14.  4% thereafter.</w:t>
            </w:r>
          </w:p>
        </w:tc>
        <w:tc>
          <w:tcPr>
            <w:tcW w:w="1170" w:type="dxa"/>
          </w:tcPr>
          <w:p w14:paraId="5E5CC393" w14:textId="77777777" w:rsidR="000B7843" w:rsidRDefault="000B7843"/>
        </w:tc>
        <w:tc>
          <w:tcPr>
            <w:tcW w:w="900" w:type="dxa"/>
          </w:tcPr>
          <w:p w14:paraId="27C7BE63" w14:textId="77777777" w:rsidR="000B7843" w:rsidRDefault="000B7843" w:rsidP="00AB173F">
            <w:pPr>
              <w:jc w:val="center"/>
            </w:pPr>
            <w:r>
              <w:t>FY15</w:t>
            </w:r>
          </w:p>
        </w:tc>
        <w:tc>
          <w:tcPr>
            <w:tcW w:w="900" w:type="dxa"/>
          </w:tcPr>
          <w:p w14:paraId="34DFA997" w14:textId="77777777" w:rsidR="000B7843" w:rsidRDefault="000B7843" w:rsidP="00AB173F">
            <w:pPr>
              <w:jc w:val="center"/>
            </w:pPr>
            <w:r>
              <w:t>FY16</w:t>
            </w:r>
          </w:p>
        </w:tc>
        <w:tc>
          <w:tcPr>
            <w:tcW w:w="900" w:type="dxa"/>
          </w:tcPr>
          <w:p w14:paraId="0379E698" w14:textId="77777777" w:rsidR="000B7843" w:rsidRDefault="000B7843" w:rsidP="00AB173F">
            <w:pPr>
              <w:jc w:val="center"/>
            </w:pPr>
            <w:r>
              <w:t>FY17</w:t>
            </w:r>
          </w:p>
        </w:tc>
        <w:tc>
          <w:tcPr>
            <w:tcW w:w="900" w:type="dxa"/>
          </w:tcPr>
          <w:p w14:paraId="768FF56F" w14:textId="69A241DE" w:rsidR="000B7843" w:rsidRDefault="006E2CA7" w:rsidP="00AB173F">
            <w:pPr>
              <w:jc w:val="center"/>
            </w:pPr>
            <w:r>
              <w:t>FY1</w:t>
            </w:r>
            <w:r w:rsidR="000B7843">
              <w:t>8</w:t>
            </w:r>
          </w:p>
        </w:tc>
        <w:tc>
          <w:tcPr>
            <w:tcW w:w="895" w:type="dxa"/>
          </w:tcPr>
          <w:p w14:paraId="0BC7A793" w14:textId="0C791BDA" w:rsidR="000B7843" w:rsidRDefault="000B7843" w:rsidP="00AB173F">
            <w:pPr>
              <w:jc w:val="center"/>
            </w:pPr>
            <w:r>
              <w:t>FY19</w:t>
            </w:r>
          </w:p>
        </w:tc>
      </w:tr>
      <w:tr w:rsidR="000B7843" w14:paraId="5B785D10" w14:textId="77777777" w:rsidTr="00AB173F">
        <w:tc>
          <w:tcPr>
            <w:tcW w:w="3685" w:type="dxa"/>
            <w:vMerge/>
          </w:tcPr>
          <w:p w14:paraId="60E4D2D6" w14:textId="77777777" w:rsidR="000B7843" w:rsidRDefault="000B7843"/>
        </w:tc>
        <w:tc>
          <w:tcPr>
            <w:tcW w:w="1170" w:type="dxa"/>
          </w:tcPr>
          <w:p w14:paraId="45793A14" w14:textId="77777777" w:rsidR="000B7843" w:rsidRDefault="000B7843">
            <w:r>
              <w:t>Academic</w:t>
            </w:r>
          </w:p>
        </w:tc>
        <w:tc>
          <w:tcPr>
            <w:tcW w:w="900" w:type="dxa"/>
          </w:tcPr>
          <w:p w14:paraId="56B5DF0A" w14:textId="536B6B1A" w:rsidR="000B7843" w:rsidRPr="00AB173F" w:rsidRDefault="00AB173F">
            <w:pPr>
              <w:rPr>
                <w:sz w:val="20"/>
                <w:szCs w:val="20"/>
              </w:rPr>
            </w:pPr>
            <w:r w:rsidRPr="00AB173F">
              <w:rPr>
                <w:sz w:val="20"/>
                <w:szCs w:val="20"/>
              </w:rPr>
              <w:t>$25,460</w:t>
            </w:r>
          </w:p>
        </w:tc>
        <w:tc>
          <w:tcPr>
            <w:tcW w:w="900" w:type="dxa"/>
          </w:tcPr>
          <w:p w14:paraId="1A3A714E" w14:textId="46386F3A" w:rsidR="000B7843" w:rsidRPr="00AB173F" w:rsidRDefault="00AB173F">
            <w:pPr>
              <w:rPr>
                <w:sz w:val="20"/>
                <w:szCs w:val="20"/>
              </w:rPr>
            </w:pPr>
            <w:r>
              <w:rPr>
                <w:sz w:val="20"/>
                <w:szCs w:val="20"/>
              </w:rPr>
              <w:t>$25,969</w:t>
            </w:r>
          </w:p>
        </w:tc>
        <w:tc>
          <w:tcPr>
            <w:tcW w:w="900" w:type="dxa"/>
          </w:tcPr>
          <w:p w14:paraId="4F197BAD" w14:textId="733D6B57" w:rsidR="000B7843" w:rsidRPr="00AB173F" w:rsidRDefault="00AB173F">
            <w:pPr>
              <w:rPr>
                <w:sz w:val="20"/>
                <w:szCs w:val="20"/>
              </w:rPr>
            </w:pPr>
            <w:r>
              <w:rPr>
                <w:sz w:val="20"/>
                <w:szCs w:val="20"/>
              </w:rPr>
              <w:t>$27,008</w:t>
            </w:r>
          </w:p>
        </w:tc>
        <w:tc>
          <w:tcPr>
            <w:tcW w:w="900" w:type="dxa"/>
          </w:tcPr>
          <w:p w14:paraId="1FAA7A7C" w14:textId="457833B1" w:rsidR="000B7843" w:rsidRPr="00AB173F" w:rsidRDefault="00AB173F">
            <w:pPr>
              <w:rPr>
                <w:sz w:val="20"/>
                <w:szCs w:val="20"/>
              </w:rPr>
            </w:pPr>
            <w:r>
              <w:rPr>
                <w:sz w:val="20"/>
                <w:szCs w:val="20"/>
              </w:rPr>
              <w:t>$28,088</w:t>
            </w:r>
          </w:p>
        </w:tc>
        <w:tc>
          <w:tcPr>
            <w:tcW w:w="895" w:type="dxa"/>
          </w:tcPr>
          <w:p w14:paraId="6A29AA55" w14:textId="37016463" w:rsidR="000B7843" w:rsidRPr="00AB173F" w:rsidRDefault="00AB173F">
            <w:pPr>
              <w:rPr>
                <w:sz w:val="20"/>
                <w:szCs w:val="20"/>
              </w:rPr>
            </w:pPr>
            <w:r>
              <w:rPr>
                <w:sz w:val="20"/>
                <w:szCs w:val="20"/>
              </w:rPr>
              <w:t>$29,212</w:t>
            </w:r>
          </w:p>
        </w:tc>
      </w:tr>
      <w:tr w:rsidR="000B7843" w14:paraId="2499E092" w14:textId="77777777" w:rsidTr="00AB173F">
        <w:tc>
          <w:tcPr>
            <w:tcW w:w="3685" w:type="dxa"/>
            <w:vMerge/>
          </w:tcPr>
          <w:p w14:paraId="33971504" w14:textId="77777777" w:rsidR="000B7843" w:rsidRDefault="000B7843"/>
        </w:tc>
        <w:tc>
          <w:tcPr>
            <w:tcW w:w="1170" w:type="dxa"/>
          </w:tcPr>
          <w:p w14:paraId="460E0B00" w14:textId="77777777" w:rsidR="000B7843" w:rsidRDefault="000B7843">
            <w:r>
              <w:t>Calendar</w:t>
            </w:r>
          </w:p>
        </w:tc>
        <w:tc>
          <w:tcPr>
            <w:tcW w:w="900" w:type="dxa"/>
          </w:tcPr>
          <w:p w14:paraId="23C8E2F5" w14:textId="140F62D2" w:rsidR="000B7843" w:rsidRPr="00AB173F" w:rsidRDefault="009938C2">
            <w:pPr>
              <w:rPr>
                <w:sz w:val="20"/>
                <w:szCs w:val="20"/>
              </w:rPr>
            </w:pPr>
            <w:r>
              <w:rPr>
                <w:sz w:val="20"/>
                <w:szCs w:val="20"/>
              </w:rPr>
              <w:t>$29,024</w:t>
            </w:r>
          </w:p>
        </w:tc>
        <w:tc>
          <w:tcPr>
            <w:tcW w:w="900" w:type="dxa"/>
          </w:tcPr>
          <w:p w14:paraId="6CB79051" w14:textId="1E2D9BA3" w:rsidR="000B7843" w:rsidRPr="00AB173F" w:rsidRDefault="009938C2">
            <w:pPr>
              <w:rPr>
                <w:sz w:val="20"/>
                <w:szCs w:val="20"/>
              </w:rPr>
            </w:pPr>
            <w:r>
              <w:rPr>
                <w:sz w:val="20"/>
                <w:szCs w:val="20"/>
              </w:rPr>
              <w:t>$29,604</w:t>
            </w:r>
          </w:p>
        </w:tc>
        <w:tc>
          <w:tcPr>
            <w:tcW w:w="900" w:type="dxa"/>
          </w:tcPr>
          <w:p w14:paraId="59285FEC" w14:textId="42D6C2C5" w:rsidR="000B7843" w:rsidRPr="00AB173F" w:rsidRDefault="009938C2">
            <w:pPr>
              <w:rPr>
                <w:sz w:val="20"/>
                <w:szCs w:val="20"/>
              </w:rPr>
            </w:pPr>
            <w:r>
              <w:rPr>
                <w:sz w:val="20"/>
                <w:szCs w:val="20"/>
              </w:rPr>
              <w:t>$30,789</w:t>
            </w:r>
          </w:p>
        </w:tc>
        <w:tc>
          <w:tcPr>
            <w:tcW w:w="900" w:type="dxa"/>
          </w:tcPr>
          <w:p w14:paraId="7CF4BB2B" w14:textId="659E0262" w:rsidR="000B7843" w:rsidRPr="00AB173F" w:rsidRDefault="009938C2">
            <w:pPr>
              <w:rPr>
                <w:sz w:val="20"/>
                <w:szCs w:val="20"/>
              </w:rPr>
            </w:pPr>
            <w:r>
              <w:rPr>
                <w:sz w:val="20"/>
                <w:szCs w:val="20"/>
              </w:rPr>
              <w:t>$32,020</w:t>
            </w:r>
          </w:p>
        </w:tc>
        <w:tc>
          <w:tcPr>
            <w:tcW w:w="895" w:type="dxa"/>
          </w:tcPr>
          <w:p w14:paraId="53BD6A0A" w14:textId="362BB59E" w:rsidR="000B7843" w:rsidRPr="00AB173F" w:rsidRDefault="009938C2">
            <w:pPr>
              <w:rPr>
                <w:sz w:val="20"/>
                <w:szCs w:val="20"/>
              </w:rPr>
            </w:pPr>
            <w:r>
              <w:rPr>
                <w:sz w:val="20"/>
                <w:szCs w:val="20"/>
              </w:rPr>
              <w:t>$33,301</w:t>
            </w:r>
          </w:p>
        </w:tc>
      </w:tr>
      <w:tr w:rsidR="009938C2" w14:paraId="30B9EDC7" w14:textId="77777777" w:rsidTr="00B665DC">
        <w:tc>
          <w:tcPr>
            <w:tcW w:w="4855" w:type="dxa"/>
            <w:gridSpan w:val="2"/>
          </w:tcPr>
          <w:p w14:paraId="707EC28D" w14:textId="77777777" w:rsidR="009938C2" w:rsidRPr="00840831" w:rsidRDefault="009938C2">
            <w:pPr>
              <w:rPr>
                <w:b/>
                <w:sz w:val="20"/>
                <w:szCs w:val="20"/>
              </w:rPr>
            </w:pPr>
            <w:r w:rsidRPr="00840831">
              <w:rPr>
                <w:b/>
                <w:sz w:val="20"/>
                <w:szCs w:val="20"/>
              </w:rPr>
              <w:t>GRADUATE STUDENT TUITION &amp; FEES</w:t>
            </w:r>
          </w:p>
          <w:p w14:paraId="49FAA1F2" w14:textId="77777777" w:rsidR="009938C2" w:rsidRPr="00840831" w:rsidRDefault="009938C2">
            <w:pPr>
              <w:rPr>
                <w:sz w:val="18"/>
                <w:szCs w:val="18"/>
              </w:rPr>
            </w:pPr>
            <w:r w:rsidRPr="00840831">
              <w:rPr>
                <w:sz w:val="18"/>
                <w:szCs w:val="18"/>
              </w:rPr>
              <w:t>(</w:t>
            </w:r>
            <w:r w:rsidRPr="006E2CA7">
              <w:rPr>
                <w:sz w:val="18"/>
                <w:szCs w:val="18"/>
                <w:u w:val="single"/>
              </w:rPr>
              <w:t>Estimates</w:t>
            </w:r>
            <w:r w:rsidRPr="00840831">
              <w:rPr>
                <w:sz w:val="18"/>
                <w:szCs w:val="18"/>
              </w:rPr>
              <w:t xml:space="preserve"> based on 9 credits per semester at the out-of-state rates).</w:t>
            </w:r>
          </w:p>
          <w:p w14:paraId="10A55472" w14:textId="43D28227" w:rsidR="009938C2" w:rsidRDefault="009938C2">
            <w:r w:rsidRPr="00840831">
              <w:rPr>
                <w:sz w:val="18"/>
                <w:szCs w:val="18"/>
              </w:rPr>
              <w:t>Increase by 5% annually.</w:t>
            </w:r>
          </w:p>
        </w:tc>
        <w:tc>
          <w:tcPr>
            <w:tcW w:w="900" w:type="dxa"/>
          </w:tcPr>
          <w:p w14:paraId="0928EDB3" w14:textId="77777777" w:rsidR="009938C2" w:rsidRDefault="009938C2">
            <w:pPr>
              <w:rPr>
                <w:sz w:val="20"/>
                <w:szCs w:val="20"/>
              </w:rPr>
            </w:pPr>
          </w:p>
          <w:p w14:paraId="31A55AC1" w14:textId="565E6585" w:rsidR="009938C2" w:rsidRPr="00AB173F" w:rsidRDefault="009938C2">
            <w:pPr>
              <w:rPr>
                <w:sz w:val="20"/>
                <w:szCs w:val="20"/>
              </w:rPr>
            </w:pPr>
            <w:r>
              <w:rPr>
                <w:sz w:val="20"/>
                <w:szCs w:val="20"/>
              </w:rPr>
              <w:t>$22,068</w:t>
            </w:r>
          </w:p>
        </w:tc>
        <w:tc>
          <w:tcPr>
            <w:tcW w:w="900" w:type="dxa"/>
          </w:tcPr>
          <w:p w14:paraId="3292C016" w14:textId="77777777" w:rsidR="009938C2" w:rsidRDefault="009938C2">
            <w:pPr>
              <w:rPr>
                <w:sz w:val="20"/>
                <w:szCs w:val="20"/>
              </w:rPr>
            </w:pPr>
          </w:p>
          <w:p w14:paraId="2F976093" w14:textId="6694A2CD" w:rsidR="009938C2" w:rsidRPr="00AB173F" w:rsidRDefault="009938C2">
            <w:pPr>
              <w:rPr>
                <w:sz w:val="20"/>
                <w:szCs w:val="20"/>
              </w:rPr>
            </w:pPr>
            <w:r>
              <w:rPr>
                <w:sz w:val="20"/>
                <w:szCs w:val="20"/>
              </w:rPr>
              <w:t>$23,171</w:t>
            </w:r>
          </w:p>
        </w:tc>
        <w:tc>
          <w:tcPr>
            <w:tcW w:w="900" w:type="dxa"/>
          </w:tcPr>
          <w:p w14:paraId="198C4C2C" w14:textId="77777777" w:rsidR="009938C2" w:rsidRDefault="009938C2">
            <w:pPr>
              <w:rPr>
                <w:sz w:val="20"/>
                <w:szCs w:val="20"/>
              </w:rPr>
            </w:pPr>
          </w:p>
          <w:p w14:paraId="5D60C5A9" w14:textId="54D2DB62" w:rsidR="009938C2" w:rsidRPr="00AB173F" w:rsidRDefault="009938C2">
            <w:pPr>
              <w:rPr>
                <w:sz w:val="20"/>
                <w:szCs w:val="20"/>
              </w:rPr>
            </w:pPr>
            <w:r>
              <w:rPr>
                <w:sz w:val="20"/>
                <w:szCs w:val="20"/>
              </w:rPr>
              <w:t>$24,330</w:t>
            </w:r>
          </w:p>
        </w:tc>
        <w:tc>
          <w:tcPr>
            <w:tcW w:w="900" w:type="dxa"/>
          </w:tcPr>
          <w:p w14:paraId="34C597D1" w14:textId="77777777" w:rsidR="009938C2" w:rsidRDefault="009938C2">
            <w:pPr>
              <w:rPr>
                <w:sz w:val="20"/>
                <w:szCs w:val="20"/>
              </w:rPr>
            </w:pPr>
          </w:p>
          <w:p w14:paraId="648BD190" w14:textId="06D14983" w:rsidR="009938C2" w:rsidRPr="00AB173F" w:rsidRDefault="009938C2">
            <w:pPr>
              <w:rPr>
                <w:sz w:val="20"/>
                <w:szCs w:val="20"/>
              </w:rPr>
            </w:pPr>
            <w:r>
              <w:rPr>
                <w:sz w:val="20"/>
                <w:szCs w:val="20"/>
              </w:rPr>
              <w:t>$25,546</w:t>
            </w:r>
          </w:p>
        </w:tc>
        <w:tc>
          <w:tcPr>
            <w:tcW w:w="895" w:type="dxa"/>
          </w:tcPr>
          <w:p w14:paraId="18279E64" w14:textId="77777777" w:rsidR="009938C2" w:rsidRDefault="009938C2">
            <w:pPr>
              <w:rPr>
                <w:sz w:val="20"/>
                <w:szCs w:val="20"/>
              </w:rPr>
            </w:pPr>
          </w:p>
          <w:p w14:paraId="62F3741A" w14:textId="34EBCEA4" w:rsidR="009938C2" w:rsidRPr="00AB173F" w:rsidRDefault="009938C2">
            <w:pPr>
              <w:rPr>
                <w:sz w:val="20"/>
                <w:szCs w:val="20"/>
              </w:rPr>
            </w:pPr>
            <w:r>
              <w:rPr>
                <w:sz w:val="20"/>
                <w:szCs w:val="20"/>
              </w:rPr>
              <w:t>$26,824</w:t>
            </w:r>
          </w:p>
        </w:tc>
      </w:tr>
      <w:tr w:rsidR="00840831" w14:paraId="18E6F908" w14:textId="77777777" w:rsidTr="00AB173F">
        <w:tc>
          <w:tcPr>
            <w:tcW w:w="3685" w:type="dxa"/>
            <w:vMerge w:val="restart"/>
          </w:tcPr>
          <w:p w14:paraId="67E3A715" w14:textId="68085AD6" w:rsidR="00840831" w:rsidRPr="009938C2" w:rsidRDefault="00840831" w:rsidP="00840831">
            <w:pPr>
              <w:rPr>
                <w:sz w:val="20"/>
                <w:szCs w:val="20"/>
              </w:rPr>
            </w:pPr>
            <w:r w:rsidRPr="00840831">
              <w:rPr>
                <w:b/>
                <w:sz w:val="20"/>
                <w:szCs w:val="20"/>
              </w:rPr>
              <w:t>NIH TUITION REMISSION LIMITS.</w:t>
            </w:r>
            <w:r>
              <w:rPr>
                <w:sz w:val="20"/>
                <w:szCs w:val="20"/>
              </w:rPr>
              <w:t xml:space="preserve"> </w:t>
            </w:r>
            <w:r w:rsidRPr="00840831">
              <w:rPr>
                <w:sz w:val="18"/>
                <w:szCs w:val="18"/>
              </w:rPr>
              <w:t xml:space="preserve"> NIH ties total graduate student compensation to the 0 level funding of the NRSA stipend which changes annually.  The amount of tuition reimbursement is the NRSA stipend less the graduate student salary and fringe.  For example, using the current amount of the NRSA stipend (0 level) $42,000, the allowable tuition for FY15 would be $42,000-($25,460</w:t>
            </w:r>
            <w:r w:rsidR="00035E24">
              <w:rPr>
                <w:sz w:val="18"/>
                <w:szCs w:val="18"/>
              </w:rPr>
              <w:t xml:space="preserve"> </w:t>
            </w:r>
            <w:r w:rsidRPr="00840831">
              <w:rPr>
                <w:sz w:val="18"/>
                <w:szCs w:val="18"/>
              </w:rPr>
              <w:t>+</w:t>
            </w:r>
            <w:r w:rsidR="00035E24">
              <w:rPr>
                <w:sz w:val="18"/>
                <w:szCs w:val="18"/>
              </w:rPr>
              <w:t xml:space="preserve"> </w:t>
            </w:r>
            <w:r w:rsidRPr="00840831">
              <w:rPr>
                <w:sz w:val="18"/>
                <w:szCs w:val="18"/>
              </w:rPr>
              <w:t>$7332) = $9208 (for academic year salary). A written commitment must be obtained from the Department for any uncovered amount of tuition &amp; fees prior to submission.</w:t>
            </w:r>
          </w:p>
        </w:tc>
        <w:tc>
          <w:tcPr>
            <w:tcW w:w="1170" w:type="dxa"/>
          </w:tcPr>
          <w:p w14:paraId="40CCF8F7" w14:textId="77777777" w:rsidR="00840831" w:rsidRDefault="00840831"/>
          <w:p w14:paraId="0F5295D5" w14:textId="77777777" w:rsidR="00840831" w:rsidRDefault="00840831"/>
          <w:p w14:paraId="52FC6881" w14:textId="77777777" w:rsidR="00840831" w:rsidRPr="00840831" w:rsidRDefault="00840831" w:rsidP="00840831">
            <w:pPr>
              <w:rPr>
                <w:sz w:val="18"/>
                <w:szCs w:val="18"/>
              </w:rPr>
            </w:pPr>
            <w:r w:rsidRPr="00840831">
              <w:rPr>
                <w:sz w:val="18"/>
                <w:szCs w:val="18"/>
              </w:rPr>
              <w:t>NIH Tuition limit with an academic year salary</w:t>
            </w:r>
          </w:p>
          <w:p w14:paraId="238DCEE3" w14:textId="6CB76722" w:rsidR="00840831" w:rsidRDefault="00840831" w:rsidP="00840831"/>
        </w:tc>
        <w:tc>
          <w:tcPr>
            <w:tcW w:w="900" w:type="dxa"/>
          </w:tcPr>
          <w:p w14:paraId="60C727F1" w14:textId="77777777" w:rsidR="00840831" w:rsidRDefault="00840831">
            <w:pPr>
              <w:rPr>
                <w:sz w:val="20"/>
                <w:szCs w:val="20"/>
              </w:rPr>
            </w:pPr>
          </w:p>
          <w:p w14:paraId="6155BE5B" w14:textId="77777777" w:rsidR="00840831" w:rsidRDefault="00840831">
            <w:pPr>
              <w:rPr>
                <w:sz w:val="20"/>
                <w:szCs w:val="20"/>
              </w:rPr>
            </w:pPr>
          </w:p>
          <w:p w14:paraId="1246906B" w14:textId="2A9A45FF" w:rsidR="00840831" w:rsidRPr="00AB173F" w:rsidRDefault="00840831">
            <w:pPr>
              <w:rPr>
                <w:sz w:val="20"/>
                <w:szCs w:val="20"/>
              </w:rPr>
            </w:pPr>
            <w:r>
              <w:rPr>
                <w:sz w:val="20"/>
                <w:szCs w:val="20"/>
              </w:rPr>
              <w:t>$9,208</w:t>
            </w:r>
          </w:p>
        </w:tc>
        <w:tc>
          <w:tcPr>
            <w:tcW w:w="900" w:type="dxa"/>
          </w:tcPr>
          <w:p w14:paraId="6282097C" w14:textId="77777777" w:rsidR="00840831" w:rsidRDefault="00840831">
            <w:pPr>
              <w:rPr>
                <w:sz w:val="20"/>
                <w:szCs w:val="20"/>
              </w:rPr>
            </w:pPr>
          </w:p>
          <w:p w14:paraId="31B145DC" w14:textId="77777777" w:rsidR="00840831" w:rsidRDefault="00840831">
            <w:pPr>
              <w:rPr>
                <w:sz w:val="20"/>
                <w:szCs w:val="20"/>
              </w:rPr>
            </w:pPr>
          </w:p>
          <w:p w14:paraId="381F03F5" w14:textId="7C01B572" w:rsidR="00840831" w:rsidRPr="00AB173F" w:rsidRDefault="00840831">
            <w:pPr>
              <w:rPr>
                <w:sz w:val="20"/>
                <w:szCs w:val="20"/>
              </w:rPr>
            </w:pPr>
            <w:r>
              <w:rPr>
                <w:sz w:val="20"/>
                <w:szCs w:val="20"/>
              </w:rPr>
              <w:t>TBD</w:t>
            </w:r>
          </w:p>
        </w:tc>
        <w:tc>
          <w:tcPr>
            <w:tcW w:w="900" w:type="dxa"/>
          </w:tcPr>
          <w:p w14:paraId="14202011" w14:textId="77777777" w:rsidR="00840831" w:rsidRDefault="00840831">
            <w:pPr>
              <w:rPr>
                <w:sz w:val="20"/>
                <w:szCs w:val="20"/>
              </w:rPr>
            </w:pPr>
          </w:p>
          <w:p w14:paraId="18E2AFD5" w14:textId="77777777" w:rsidR="00840831" w:rsidRDefault="00840831">
            <w:pPr>
              <w:rPr>
                <w:sz w:val="20"/>
                <w:szCs w:val="20"/>
              </w:rPr>
            </w:pPr>
          </w:p>
          <w:p w14:paraId="18E7927E" w14:textId="69613875" w:rsidR="00840831" w:rsidRPr="00AB173F" w:rsidRDefault="00840831">
            <w:pPr>
              <w:rPr>
                <w:sz w:val="20"/>
                <w:szCs w:val="20"/>
              </w:rPr>
            </w:pPr>
            <w:r>
              <w:rPr>
                <w:sz w:val="20"/>
                <w:szCs w:val="20"/>
              </w:rPr>
              <w:t>TBD</w:t>
            </w:r>
          </w:p>
        </w:tc>
        <w:tc>
          <w:tcPr>
            <w:tcW w:w="900" w:type="dxa"/>
          </w:tcPr>
          <w:p w14:paraId="45567CE1" w14:textId="77777777" w:rsidR="00840831" w:rsidRDefault="00840831">
            <w:pPr>
              <w:rPr>
                <w:sz w:val="20"/>
                <w:szCs w:val="20"/>
              </w:rPr>
            </w:pPr>
          </w:p>
          <w:p w14:paraId="337FC302" w14:textId="77777777" w:rsidR="00840831" w:rsidRDefault="00840831">
            <w:pPr>
              <w:rPr>
                <w:sz w:val="20"/>
                <w:szCs w:val="20"/>
              </w:rPr>
            </w:pPr>
          </w:p>
          <w:p w14:paraId="06EBA001" w14:textId="61B57202" w:rsidR="00840831" w:rsidRPr="00AB173F" w:rsidRDefault="00840831">
            <w:pPr>
              <w:rPr>
                <w:sz w:val="20"/>
                <w:szCs w:val="20"/>
              </w:rPr>
            </w:pPr>
            <w:r>
              <w:rPr>
                <w:sz w:val="20"/>
                <w:szCs w:val="20"/>
              </w:rPr>
              <w:t>TBD</w:t>
            </w:r>
          </w:p>
        </w:tc>
        <w:tc>
          <w:tcPr>
            <w:tcW w:w="895" w:type="dxa"/>
          </w:tcPr>
          <w:p w14:paraId="222FE2AC" w14:textId="77777777" w:rsidR="00840831" w:rsidRDefault="00840831">
            <w:pPr>
              <w:rPr>
                <w:sz w:val="20"/>
                <w:szCs w:val="20"/>
              </w:rPr>
            </w:pPr>
          </w:p>
          <w:p w14:paraId="7E0710DD" w14:textId="77777777" w:rsidR="00840831" w:rsidRDefault="00840831">
            <w:pPr>
              <w:rPr>
                <w:sz w:val="20"/>
                <w:szCs w:val="20"/>
              </w:rPr>
            </w:pPr>
          </w:p>
          <w:p w14:paraId="1865EAA2" w14:textId="1F13CB88" w:rsidR="00840831" w:rsidRPr="00AB173F" w:rsidRDefault="00840831">
            <w:pPr>
              <w:rPr>
                <w:sz w:val="20"/>
                <w:szCs w:val="20"/>
              </w:rPr>
            </w:pPr>
            <w:r>
              <w:rPr>
                <w:sz w:val="20"/>
                <w:szCs w:val="20"/>
              </w:rPr>
              <w:t>TBD</w:t>
            </w:r>
          </w:p>
        </w:tc>
      </w:tr>
      <w:tr w:rsidR="00840831" w14:paraId="79D9190D" w14:textId="77777777" w:rsidTr="00AB173F">
        <w:tc>
          <w:tcPr>
            <w:tcW w:w="3685" w:type="dxa"/>
            <w:vMerge/>
          </w:tcPr>
          <w:p w14:paraId="6FEC79E0" w14:textId="77777777" w:rsidR="00840831" w:rsidRDefault="00840831"/>
        </w:tc>
        <w:tc>
          <w:tcPr>
            <w:tcW w:w="1170" w:type="dxa"/>
          </w:tcPr>
          <w:p w14:paraId="23FA89B5" w14:textId="77777777" w:rsidR="00840831" w:rsidRDefault="00840831"/>
          <w:p w14:paraId="1E5F4FD4" w14:textId="77777777" w:rsidR="0015351F" w:rsidRPr="0015351F" w:rsidRDefault="00840831">
            <w:pPr>
              <w:rPr>
                <w:sz w:val="18"/>
                <w:szCs w:val="18"/>
              </w:rPr>
            </w:pPr>
            <w:r w:rsidRPr="0015351F">
              <w:rPr>
                <w:sz w:val="18"/>
                <w:szCs w:val="18"/>
              </w:rPr>
              <w:t>NIH</w:t>
            </w:r>
            <w:r w:rsidR="0015351F" w:rsidRPr="0015351F">
              <w:rPr>
                <w:sz w:val="18"/>
                <w:szCs w:val="18"/>
              </w:rPr>
              <w:t xml:space="preserve"> Tuition limit with a calendar year salary</w:t>
            </w:r>
          </w:p>
          <w:p w14:paraId="5E0C7BA3" w14:textId="42890A5C" w:rsidR="00840831" w:rsidRDefault="00840831">
            <w:r>
              <w:t xml:space="preserve"> </w:t>
            </w:r>
          </w:p>
        </w:tc>
        <w:tc>
          <w:tcPr>
            <w:tcW w:w="900" w:type="dxa"/>
          </w:tcPr>
          <w:p w14:paraId="6329097F" w14:textId="77777777" w:rsidR="00840831" w:rsidRDefault="00840831">
            <w:pPr>
              <w:rPr>
                <w:sz w:val="20"/>
                <w:szCs w:val="20"/>
              </w:rPr>
            </w:pPr>
          </w:p>
          <w:p w14:paraId="1FF00065" w14:textId="3631D45F" w:rsidR="0015351F" w:rsidRPr="00AB173F" w:rsidRDefault="0015351F">
            <w:pPr>
              <w:rPr>
                <w:sz w:val="20"/>
                <w:szCs w:val="20"/>
              </w:rPr>
            </w:pPr>
            <w:r>
              <w:rPr>
                <w:sz w:val="20"/>
                <w:szCs w:val="20"/>
              </w:rPr>
              <w:t>$4,618</w:t>
            </w:r>
          </w:p>
        </w:tc>
        <w:tc>
          <w:tcPr>
            <w:tcW w:w="900" w:type="dxa"/>
          </w:tcPr>
          <w:p w14:paraId="7BB658EB" w14:textId="77777777" w:rsidR="00840831" w:rsidRDefault="00840831">
            <w:pPr>
              <w:rPr>
                <w:sz w:val="20"/>
                <w:szCs w:val="20"/>
              </w:rPr>
            </w:pPr>
          </w:p>
          <w:p w14:paraId="554BF6E9" w14:textId="088EF576" w:rsidR="0015351F" w:rsidRPr="00AB173F" w:rsidRDefault="0015351F">
            <w:pPr>
              <w:rPr>
                <w:sz w:val="20"/>
                <w:szCs w:val="20"/>
              </w:rPr>
            </w:pPr>
            <w:r>
              <w:rPr>
                <w:sz w:val="20"/>
                <w:szCs w:val="20"/>
              </w:rPr>
              <w:t>TBD</w:t>
            </w:r>
          </w:p>
        </w:tc>
        <w:tc>
          <w:tcPr>
            <w:tcW w:w="900" w:type="dxa"/>
          </w:tcPr>
          <w:p w14:paraId="07DFE0D9" w14:textId="77777777" w:rsidR="00840831" w:rsidRDefault="00840831">
            <w:pPr>
              <w:rPr>
                <w:sz w:val="20"/>
                <w:szCs w:val="20"/>
              </w:rPr>
            </w:pPr>
          </w:p>
          <w:p w14:paraId="5E4C28C7" w14:textId="0EEB0700" w:rsidR="0015351F" w:rsidRPr="00AB173F" w:rsidRDefault="0015351F">
            <w:pPr>
              <w:rPr>
                <w:sz w:val="20"/>
                <w:szCs w:val="20"/>
              </w:rPr>
            </w:pPr>
            <w:r>
              <w:rPr>
                <w:sz w:val="20"/>
                <w:szCs w:val="20"/>
              </w:rPr>
              <w:t>TBD</w:t>
            </w:r>
          </w:p>
        </w:tc>
        <w:tc>
          <w:tcPr>
            <w:tcW w:w="900" w:type="dxa"/>
          </w:tcPr>
          <w:p w14:paraId="46ED29E1" w14:textId="77777777" w:rsidR="00840831" w:rsidRDefault="00840831">
            <w:pPr>
              <w:rPr>
                <w:sz w:val="20"/>
                <w:szCs w:val="20"/>
              </w:rPr>
            </w:pPr>
          </w:p>
          <w:p w14:paraId="2AC535DB" w14:textId="0F929C93" w:rsidR="0015351F" w:rsidRPr="00AB173F" w:rsidRDefault="0015351F">
            <w:pPr>
              <w:rPr>
                <w:sz w:val="20"/>
                <w:szCs w:val="20"/>
              </w:rPr>
            </w:pPr>
            <w:r>
              <w:rPr>
                <w:sz w:val="20"/>
                <w:szCs w:val="20"/>
              </w:rPr>
              <w:t>TBD</w:t>
            </w:r>
          </w:p>
        </w:tc>
        <w:tc>
          <w:tcPr>
            <w:tcW w:w="895" w:type="dxa"/>
          </w:tcPr>
          <w:p w14:paraId="7BD87E94" w14:textId="77777777" w:rsidR="00840831" w:rsidRDefault="00840831">
            <w:pPr>
              <w:rPr>
                <w:sz w:val="20"/>
                <w:szCs w:val="20"/>
              </w:rPr>
            </w:pPr>
          </w:p>
          <w:p w14:paraId="6AAFEB0C" w14:textId="44FA5214" w:rsidR="0015351F" w:rsidRPr="00AB173F" w:rsidRDefault="0015351F">
            <w:pPr>
              <w:rPr>
                <w:sz w:val="20"/>
                <w:szCs w:val="20"/>
              </w:rPr>
            </w:pPr>
            <w:r>
              <w:rPr>
                <w:sz w:val="20"/>
                <w:szCs w:val="20"/>
              </w:rPr>
              <w:t>TBD</w:t>
            </w:r>
          </w:p>
        </w:tc>
      </w:tr>
      <w:tr w:rsidR="007E7E4F" w14:paraId="543E4E70" w14:textId="77777777" w:rsidTr="0078159B">
        <w:tc>
          <w:tcPr>
            <w:tcW w:w="9350" w:type="dxa"/>
            <w:gridSpan w:val="7"/>
          </w:tcPr>
          <w:p w14:paraId="28470388" w14:textId="42923127" w:rsidR="007E7E4F" w:rsidRDefault="002B4C43">
            <w:bookmarkStart w:id="0" w:name="_GoBack"/>
            <w:bookmarkEnd w:id="0"/>
            <w:r>
              <w:t>Note</w:t>
            </w:r>
            <w:r w:rsidR="007E7E4F">
              <w:t>: Please use the values provided. Ho</w:t>
            </w:r>
            <w:r w:rsidR="007326D9">
              <w:t>wever, please be aware the GA/TA</w:t>
            </w:r>
            <w:r w:rsidR="007E7E4F">
              <w:t xml:space="preserve"> salaries are a subject of ongoing negotiations with the union.</w:t>
            </w:r>
          </w:p>
          <w:p w14:paraId="18857DF8" w14:textId="081EFFC6" w:rsidR="007E7E4F" w:rsidRDefault="007E7E4F">
            <w:pPr>
              <w:rPr>
                <w:sz w:val="20"/>
                <w:szCs w:val="20"/>
              </w:rPr>
            </w:pPr>
          </w:p>
        </w:tc>
      </w:tr>
    </w:tbl>
    <w:p w14:paraId="5A79E760" w14:textId="761BB9C6" w:rsidR="00F97D0D" w:rsidRDefault="00F97D0D"/>
    <w:p w14:paraId="20B2CC28" w14:textId="77777777" w:rsidR="007E7E4F" w:rsidRDefault="007E7E4F"/>
    <w:p w14:paraId="11AE2E63" w14:textId="77777777" w:rsidR="00F97D0D" w:rsidRDefault="00F97D0D"/>
    <w:sectPr w:rsidR="00F97D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20DF9" w14:textId="77777777" w:rsidR="00F97D0D" w:rsidRDefault="00F97D0D" w:rsidP="00F97D0D">
      <w:pPr>
        <w:spacing w:after="0" w:line="240" w:lineRule="auto"/>
      </w:pPr>
      <w:r>
        <w:separator/>
      </w:r>
    </w:p>
  </w:endnote>
  <w:endnote w:type="continuationSeparator" w:id="0">
    <w:p w14:paraId="3E9446DA" w14:textId="77777777" w:rsidR="00F97D0D" w:rsidRDefault="00F97D0D" w:rsidP="00F9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95639" w14:textId="77777777" w:rsidR="00F97D0D" w:rsidRDefault="00F97D0D" w:rsidP="00F97D0D">
      <w:pPr>
        <w:spacing w:after="0" w:line="240" w:lineRule="auto"/>
      </w:pPr>
      <w:r>
        <w:separator/>
      </w:r>
    </w:p>
  </w:footnote>
  <w:footnote w:type="continuationSeparator" w:id="0">
    <w:p w14:paraId="52ABF758" w14:textId="77777777" w:rsidR="00F97D0D" w:rsidRDefault="00F97D0D" w:rsidP="00F97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50C8" w14:textId="77777777" w:rsidR="00F97D0D" w:rsidRPr="00F97D0D" w:rsidRDefault="00F97D0D" w:rsidP="00F97D0D">
    <w:pPr>
      <w:pStyle w:val="Header"/>
      <w:jc w:val="center"/>
      <w:rPr>
        <w:sz w:val="18"/>
        <w:szCs w:val="18"/>
      </w:rPr>
    </w:pPr>
    <w:r w:rsidRPr="00F97D0D">
      <w:rPr>
        <w:sz w:val="18"/>
        <w:szCs w:val="18"/>
      </w:rPr>
      <w:t>RUTGERS, THE STATE UNIVERSITY</w:t>
    </w:r>
  </w:p>
  <w:p w14:paraId="588FBCF4" w14:textId="77777777" w:rsidR="00F97D0D" w:rsidRDefault="00F97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0D"/>
    <w:rsid w:val="00035E24"/>
    <w:rsid w:val="000B7843"/>
    <w:rsid w:val="0015351F"/>
    <w:rsid w:val="001E25B0"/>
    <w:rsid w:val="001E2876"/>
    <w:rsid w:val="002B4C43"/>
    <w:rsid w:val="0038444F"/>
    <w:rsid w:val="004359C2"/>
    <w:rsid w:val="0049451A"/>
    <w:rsid w:val="0051220E"/>
    <w:rsid w:val="00582080"/>
    <w:rsid w:val="006E2CA7"/>
    <w:rsid w:val="007326D9"/>
    <w:rsid w:val="007578FB"/>
    <w:rsid w:val="007E7E4F"/>
    <w:rsid w:val="00840831"/>
    <w:rsid w:val="008F4599"/>
    <w:rsid w:val="009938C2"/>
    <w:rsid w:val="00A00525"/>
    <w:rsid w:val="00AB173F"/>
    <w:rsid w:val="00AD11E7"/>
    <w:rsid w:val="00D92241"/>
    <w:rsid w:val="00F16837"/>
    <w:rsid w:val="00F72410"/>
    <w:rsid w:val="00F9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7D584"/>
  <w15:chartTrackingRefBased/>
  <w15:docId w15:val="{CB05499B-3457-4DF8-8CDC-0A3AA13C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0D"/>
  </w:style>
  <w:style w:type="paragraph" w:styleId="Footer">
    <w:name w:val="footer"/>
    <w:basedOn w:val="Normal"/>
    <w:link w:val="FooterChar"/>
    <w:uiPriority w:val="99"/>
    <w:unhideWhenUsed/>
    <w:rsid w:val="00F97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0D"/>
  </w:style>
  <w:style w:type="table" w:styleId="TableGrid">
    <w:name w:val="Table Grid"/>
    <w:basedOn w:val="TableNormal"/>
    <w:uiPriority w:val="39"/>
    <w:rsid w:val="00F9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EC23D-0020-4C3F-A463-0E92AC51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Condobery</dc:creator>
  <cp:keywords/>
  <dc:description/>
  <cp:lastModifiedBy>Lisa Condobery</cp:lastModifiedBy>
  <cp:revision>18</cp:revision>
  <dcterms:created xsi:type="dcterms:W3CDTF">2018-10-19T14:27:00Z</dcterms:created>
  <dcterms:modified xsi:type="dcterms:W3CDTF">2018-10-19T18:00:00Z</dcterms:modified>
</cp:coreProperties>
</file>